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3CAF" w14:textId="10B56FEA" w:rsidR="008B36C7" w:rsidRDefault="008B36C7" w:rsidP="008B36C7">
      <w:pPr>
        <w:pStyle w:val="NormalWeb"/>
        <w:spacing w:before="0" w:beforeAutospacing="0" w:after="0" w:afterAutospacing="0"/>
        <w:ind w:right="-324"/>
        <w:jc w:val="both"/>
        <w:rPr>
          <w:rFonts w:asciiTheme="minorHAnsi" w:hAnsiTheme="minorHAnsi" w:cstheme="minorHAnsi"/>
          <w:b/>
          <w:bCs/>
          <w:color w:val="000000"/>
        </w:rPr>
      </w:pPr>
      <w:r w:rsidRPr="0087037E">
        <w:rPr>
          <w:rFonts w:asciiTheme="minorHAnsi" w:hAnsiTheme="minorHAnsi" w:cstheme="minorHAnsi"/>
        </w:rPr>
        <w:t xml:space="preserve">Name: </w:t>
      </w:r>
      <w:hyperlink r:id="rId5" w:history="1">
        <w:r w:rsidR="00706371">
          <w:rPr>
            <w:rStyle w:val="Hyperlink"/>
            <w:rFonts w:asciiTheme="minorHAnsi" w:hAnsiTheme="minorHAnsi" w:cstheme="minorHAnsi"/>
            <w:b/>
            <w:bCs/>
          </w:rPr>
          <w:t>Energy Agency (Scotland, UK) </w:t>
        </w:r>
      </w:hyperlink>
    </w:p>
    <w:p w14:paraId="1972BE26" w14:textId="38115374" w:rsidR="008B36C7" w:rsidRPr="00611599" w:rsidRDefault="008B36C7" w:rsidP="008B36C7">
      <w:pPr>
        <w:rPr>
          <w:b/>
          <w:bCs/>
        </w:rPr>
      </w:pPr>
      <w:r w:rsidRPr="00611599">
        <w:rPr>
          <w:b/>
          <w:bCs/>
        </w:rPr>
        <w:t xml:space="preserve">Sustainable finance model: </w:t>
      </w:r>
      <w:r w:rsidRPr="008278EB">
        <w:t xml:space="preserve">(with added value </w:t>
      </w:r>
      <w:r w:rsidR="00694C36">
        <w:t>–</w:t>
      </w:r>
      <w:r w:rsidRPr="008278EB">
        <w:t xml:space="preserve"> </w:t>
      </w:r>
      <w:r w:rsidR="00694C36">
        <w:t xml:space="preserve">local sustainability, </w:t>
      </w:r>
      <w:r w:rsidRPr="008278EB">
        <w:t>reduction in carbon emissions</w:t>
      </w:r>
      <w:r w:rsidR="005033C7">
        <w:t>,</w:t>
      </w:r>
      <w:r w:rsidRPr="008278EB">
        <w:t xml:space="preserve"> transition to net zero</w:t>
      </w:r>
      <w:r w:rsidR="005033C7">
        <w:t xml:space="preserve"> and ecological benefits</w:t>
      </w:r>
      <w:r w:rsidRPr="008278EB">
        <w:t>)</w:t>
      </w:r>
      <w:r w:rsidRPr="000C69A0">
        <w:rPr>
          <w:b/>
          <w:bCs/>
        </w:rPr>
        <w:t xml:space="preserve"> (Fund and Support)</w:t>
      </w:r>
      <w:r w:rsidRPr="00611599">
        <w:rPr>
          <w:b/>
          <w:bCs/>
        </w:rPr>
        <w:t xml:space="preserve"> </w:t>
      </w:r>
    </w:p>
    <w:p w14:paraId="542BA1A7" w14:textId="0BF6DBFD" w:rsidR="00CA480B" w:rsidRDefault="008B36C7" w:rsidP="00142E18">
      <w:r>
        <w:t xml:space="preserve">The Energy Agency is a </w:t>
      </w:r>
      <w:r w:rsidR="000C69A0">
        <w:t>charitable organisation d</w:t>
      </w:r>
      <w:r>
        <w:t>elivering energy efficiency measures and fuel poverty advice to homes</w:t>
      </w:r>
      <w:r w:rsidR="00F67A72">
        <w:t>,</w:t>
      </w:r>
      <w:r>
        <w:t xml:space="preserve"> businesses</w:t>
      </w:r>
      <w:r w:rsidR="00F67A72">
        <w:t xml:space="preserve"> and communities</w:t>
      </w:r>
      <w:r>
        <w:t xml:space="preserve"> in </w:t>
      </w:r>
      <w:r w:rsidR="00C71AD4">
        <w:t>s</w:t>
      </w:r>
      <w:r w:rsidR="00CA480B">
        <w:t>outhwest</w:t>
      </w:r>
      <w:r>
        <w:t xml:space="preserve"> Scotland, along</w:t>
      </w:r>
      <w:r w:rsidR="000C69A0">
        <w:t>side awareness</w:t>
      </w:r>
      <w:r>
        <w:t xml:space="preserve"> </w:t>
      </w:r>
      <w:r w:rsidR="00694C36">
        <w:t xml:space="preserve">raising </w:t>
      </w:r>
      <w:r>
        <w:t xml:space="preserve">around </w:t>
      </w:r>
      <w:r w:rsidR="00CA480B" w:rsidRPr="00CA480B">
        <w:t>renewable energy</w:t>
      </w:r>
      <w:r w:rsidR="00CA480B">
        <w:t xml:space="preserve">, </w:t>
      </w:r>
      <w:r w:rsidR="00CA480B" w:rsidRPr="00CA480B">
        <w:t>sustainable transport</w:t>
      </w:r>
      <w:r w:rsidR="00CA480B">
        <w:t xml:space="preserve"> and </w:t>
      </w:r>
      <w:r>
        <w:t xml:space="preserve">reducing carbon emissions. </w:t>
      </w:r>
      <w:r w:rsidR="00907219">
        <w:t>Energy A</w:t>
      </w:r>
      <w:r w:rsidR="000C69A0">
        <w:t xml:space="preserve">gency </w:t>
      </w:r>
      <w:r>
        <w:t>provide</w:t>
      </w:r>
      <w:r w:rsidR="000C69A0">
        <w:t>s</w:t>
      </w:r>
      <w:r>
        <w:t xml:space="preserve"> </w:t>
      </w:r>
      <w:r w:rsidR="000C69A0">
        <w:t xml:space="preserve">free, impartial </w:t>
      </w:r>
      <w:r>
        <w:t>en</w:t>
      </w:r>
      <w:r w:rsidR="00490DFD">
        <w:t>ergy</w:t>
      </w:r>
      <w:r>
        <w:t xml:space="preserve"> advice to clients directly, at events and via developed materials</w:t>
      </w:r>
      <w:r w:rsidR="00DD3CA8">
        <w:t xml:space="preserve">. They </w:t>
      </w:r>
      <w:r>
        <w:t xml:space="preserve">work with different health and social care professionals providing a holistic approach to combating fuel </w:t>
      </w:r>
      <w:r w:rsidRPr="000C69A0">
        <w:t>poverty and</w:t>
      </w:r>
      <w:r w:rsidR="000C69A0">
        <w:t xml:space="preserve"> </w:t>
      </w:r>
      <w:r w:rsidRPr="000C69A0">
        <w:t xml:space="preserve">related </w:t>
      </w:r>
      <w:r w:rsidR="00B20F1E">
        <w:t>issues</w:t>
      </w:r>
      <w:r w:rsidRPr="000C69A0">
        <w:t xml:space="preserve">. </w:t>
      </w:r>
      <w:r w:rsidR="00351F3E">
        <w:t>M</w:t>
      </w:r>
      <w:r>
        <w:t xml:space="preserve">ainly funded by public money including area-based schemes for energy efficiency measures from Scottish Government; financial inclusion budgets from local councils and Energy Company Obligation funding – </w:t>
      </w:r>
      <w:r w:rsidRPr="000C69A0">
        <w:t xml:space="preserve">many </w:t>
      </w:r>
      <w:r w:rsidR="001B617B" w:rsidRPr="000C69A0">
        <w:t xml:space="preserve">of </w:t>
      </w:r>
      <w:r w:rsidR="00CA480B">
        <w:t xml:space="preserve">these funds </w:t>
      </w:r>
      <w:r w:rsidRPr="000C69A0">
        <w:t>are short-term</w:t>
      </w:r>
      <w:r w:rsidR="00CA480B">
        <w:t xml:space="preserve">. </w:t>
      </w:r>
    </w:p>
    <w:p w14:paraId="0C66A8F9" w14:textId="37C1B6A2" w:rsidR="00142E18" w:rsidRDefault="00142E18" w:rsidP="00142E18">
      <w:r>
        <w:t xml:space="preserve">To create a more sustainable funding stream </w:t>
      </w:r>
      <w:r w:rsidR="00E025A8">
        <w:t>t</w:t>
      </w:r>
      <w:r>
        <w:t xml:space="preserve">he Energy Agency developed and installed a </w:t>
      </w:r>
      <w:r w:rsidR="00804F2D">
        <w:t xml:space="preserve">hydroelectric </w:t>
      </w:r>
      <w:r>
        <w:t xml:space="preserve">scheme. The </w:t>
      </w:r>
      <w:hyperlink r:id="rId6" w:history="1">
        <w:r w:rsidRPr="00CA480B">
          <w:rPr>
            <w:rStyle w:val="Hyperlink"/>
          </w:rPr>
          <w:t>Nethermills Hydro Scheme</w:t>
        </w:r>
      </w:hyperlink>
      <w:r w:rsidR="00CA480B">
        <w:t xml:space="preserve"> </w:t>
      </w:r>
      <w:r>
        <w:rPr>
          <w:rFonts w:cstheme="minorHAnsi"/>
        </w:rPr>
        <w:t>consists of a 90kW A</w:t>
      </w:r>
      <w:r w:rsidRPr="00EE7695">
        <w:rPr>
          <w:rFonts w:cstheme="minorHAnsi"/>
        </w:rPr>
        <w:t>rchimede</w:t>
      </w:r>
      <w:r>
        <w:rPr>
          <w:rFonts w:cstheme="minorHAnsi"/>
        </w:rPr>
        <w:t>an single screw turbine de</w:t>
      </w:r>
      <w:r w:rsidRPr="00EE7695">
        <w:rPr>
          <w:rFonts w:cstheme="minorHAnsi"/>
        </w:rPr>
        <w:t>signed and built by Vandezande (Belgium)</w:t>
      </w:r>
      <w:r>
        <w:rPr>
          <w:rFonts w:cstheme="minorHAnsi"/>
        </w:rPr>
        <w:t xml:space="preserve">. Situated in the </w:t>
      </w:r>
      <w:r>
        <w:t xml:space="preserve">River Ayr at an existing weir, historically used by a corn mill. </w:t>
      </w:r>
      <w:r w:rsidR="008263AF">
        <w:t xml:space="preserve">The </w:t>
      </w:r>
      <w:r w:rsidR="008B2CDD">
        <w:t>clean, green</w:t>
      </w:r>
      <w:r w:rsidR="008263AF">
        <w:t xml:space="preserve"> energy </w:t>
      </w:r>
      <w:r w:rsidR="008B2CDD">
        <w:t xml:space="preserve">generated </w:t>
      </w:r>
      <w:r w:rsidR="008263AF">
        <w:t xml:space="preserve">is used locally by Ayrshire College, and excess is exported back to the grid providing income for the Energy Agency.  </w:t>
      </w:r>
    </w:p>
    <w:p w14:paraId="57A5BF70" w14:textId="5A4B0741" w:rsidR="00142E18" w:rsidRDefault="00142E18" w:rsidP="00142E18">
      <w:bookmarkStart w:id="0" w:name="_Hlk151995565"/>
      <w:r>
        <w:t xml:space="preserve">To finance the project </w:t>
      </w:r>
      <w:r w:rsidR="00B64DC7">
        <w:t>t</w:t>
      </w:r>
      <w:r>
        <w:t>he Energy Agency set-up a subsidiary company – Energy Agency Renewables Ltd – which installed, owns and operates the Nethermills Hydro plant. The £1 million demo</w:t>
      </w:r>
      <w:r w:rsidR="001B0CD0">
        <w:t>nstration</w:t>
      </w:r>
      <w:r>
        <w:t xml:space="preserve"> project used </w:t>
      </w:r>
      <w:r w:rsidR="008278EB">
        <w:t>regional</w:t>
      </w:r>
      <w:r>
        <w:t xml:space="preserve"> contractors, and collaborated with the</w:t>
      </w:r>
      <w:r w:rsidRPr="0087037E">
        <w:t xml:space="preserve"> </w:t>
      </w:r>
      <w:r w:rsidR="008278EB">
        <w:t xml:space="preserve">local </w:t>
      </w:r>
      <w:r w:rsidRPr="0087037E">
        <w:t>community</w:t>
      </w:r>
      <w:r>
        <w:t xml:space="preserve">, </w:t>
      </w:r>
      <w:r w:rsidR="008278EB">
        <w:t xml:space="preserve">neighbouring </w:t>
      </w:r>
      <w:r>
        <w:t xml:space="preserve">Ayrshire </w:t>
      </w:r>
      <w:r w:rsidRPr="0087037E">
        <w:t xml:space="preserve">college, </w:t>
      </w:r>
      <w:r w:rsidR="008278EB">
        <w:t xml:space="preserve">environment agencies, </w:t>
      </w:r>
      <w:r w:rsidRPr="0087037E">
        <w:t>archaeologists</w:t>
      </w:r>
      <w:r>
        <w:t xml:space="preserve">, and biologists to </w:t>
      </w:r>
      <w:r w:rsidRPr="0087037E">
        <w:t>monitor</w:t>
      </w:r>
      <w:r>
        <w:t xml:space="preserve"> </w:t>
      </w:r>
      <w:r w:rsidR="008278EB">
        <w:t xml:space="preserve">the environmental </w:t>
      </w:r>
      <w:r w:rsidRPr="0087037E">
        <w:t>impact</w:t>
      </w:r>
      <w:r>
        <w:t xml:space="preserve">s and minimise disruption. </w:t>
      </w:r>
      <w:r w:rsidR="008278EB">
        <w:rPr>
          <w:rFonts w:cstheme="minorHAnsi"/>
        </w:rPr>
        <w:t>There is an e</w:t>
      </w:r>
      <w:r>
        <w:t>xpected 50</w:t>
      </w:r>
      <w:r w:rsidR="008278EB">
        <w:t>–</w:t>
      </w:r>
      <w:proofErr w:type="gramStart"/>
      <w:r w:rsidR="008278EB">
        <w:t>60 year</w:t>
      </w:r>
      <w:proofErr w:type="gramEnd"/>
      <w:r>
        <w:t xml:space="preserve"> lifespan for the technology</w:t>
      </w:r>
      <w:r w:rsidR="008263AF">
        <w:t xml:space="preserve"> creating long-term sustainable finance</w:t>
      </w:r>
      <w:r w:rsidR="00CA480B">
        <w:t xml:space="preserve"> to </w:t>
      </w:r>
      <w:r w:rsidR="00CA480B">
        <w:rPr>
          <w:rFonts w:cstheme="minorHAnsi"/>
        </w:rPr>
        <w:t xml:space="preserve">support the Energy Agency’s vital energy </w:t>
      </w:r>
      <w:r w:rsidR="00CA480B" w:rsidRPr="0087037E">
        <w:rPr>
          <w:rFonts w:cstheme="minorHAnsi"/>
        </w:rPr>
        <w:t>efficiency and fuel poverty work</w:t>
      </w:r>
      <w:r w:rsidR="00CA480B">
        <w:rPr>
          <w:rFonts w:cstheme="minorHAnsi"/>
        </w:rPr>
        <w:t>.</w:t>
      </w:r>
    </w:p>
    <w:bookmarkEnd w:id="0"/>
    <w:p w14:paraId="0BB49A98" w14:textId="77777777" w:rsidR="00142E18" w:rsidRDefault="00142E18" w:rsidP="00142E18">
      <w:pPr>
        <w:rPr>
          <w:rFonts w:cstheme="minorHAnsi"/>
        </w:rPr>
      </w:pPr>
      <w:r>
        <w:rPr>
          <w:rFonts w:cstheme="minorHAnsi"/>
        </w:rPr>
        <w:t xml:space="preserve">Added Value: </w:t>
      </w:r>
    </w:p>
    <w:p w14:paraId="3426FF53" w14:textId="530B7ED1" w:rsidR="00F411C2" w:rsidRDefault="008278EB" w:rsidP="00F411C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Local sustainability</w:t>
      </w:r>
      <w:r w:rsidR="00F411C2">
        <w:rPr>
          <w:rFonts w:cstheme="minorHAnsi"/>
        </w:rPr>
        <w:t xml:space="preserve"> (e</w:t>
      </w:r>
      <w:r w:rsidR="00F411C2" w:rsidRPr="000017EA">
        <w:rPr>
          <w:rFonts w:cstheme="minorHAnsi"/>
        </w:rPr>
        <w:t xml:space="preserve">lectricity used at source, </w:t>
      </w:r>
      <w:r w:rsidR="00F411C2">
        <w:rPr>
          <w:rFonts w:cstheme="minorHAnsi"/>
        </w:rPr>
        <w:t xml:space="preserve">contributing to </w:t>
      </w:r>
      <w:r w:rsidR="00F411C2" w:rsidRPr="000017EA">
        <w:rPr>
          <w:rFonts w:cstheme="minorHAnsi"/>
        </w:rPr>
        <w:t>net zero</w:t>
      </w:r>
      <w:r w:rsidR="00F411C2">
        <w:rPr>
          <w:rFonts w:cstheme="minorHAnsi"/>
        </w:rPr>
        <w:t xml:space="preserve"> transition).</w:t>
      </w:r>
    </w:p>
    <w:p w14:paraId="2A9B6DAC" w14:textId="65E221E0" w:rsidR="00142E18" w:rsidRDefault="00142E18" w:rsidP="00142E18">
      <w:pPr>
        <w:pStyle w:val="ListParagraph"/>
        <w:numPr>
          <w:ilvl w:val="0"/>
          <w:numId w:val="1"/>
        </w:numPr>
        <w:rPr>
          <w:rFonts w:cstheme="minorHAnsi"/>
        </w:rPr>
      </w:pPr>
      <w:r w:rsidRPr="000017EA">
        <w:rPr>
          <w:rFonts w:cstheme="minorHAnsi"/>
        </w:rPr>
        <w:t>CO</w:t>
      </w:r>
      <w:r w:rsidRPr="00776943">
        <w:rPr>
          <w:rFonts w:cstheme="minorHAnsi"/>
          <w:vertAlign w:val="subscript"/>
        </w:rPr>
        <w:t>2</w:t>
      </w:r>
      <w:r w:rsidRPr="000017EA">
        <w:rPr>
          <w:rFonts w:cstheme="minorHAnsi"/>
        </w:rPr>
        <w:t xml:space="preserve"> </w:t>
      </w:r>
      <w:r w:rsidR="00F411C2">
        <w:rPr>
          <w:rFonts w:cstheme="minorHAnsi"/>
        </w:rPr>
        <w:t xml:space="preserve">emissions </w:t>
      </w:r>
      <w:r w:rsidRPr="000017EA">
        <w:rPr>
          <w:rFonts w:cstheme="minorHAnsi"/>
        </w:rPr>
        <w:t xml:space="preserve">reduction. </w:t>
      </w:r>
    </w:p>
    <w:p w14:paraId="357DAF36" w14:textId="649C6E8C" w:rsidR="00142E18" w:rsidRPr="00B171A1" w:rsidRDefault="00142E18" w:rsidP="00142E18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D</w:t>
      </w:r>
      <w:r w:rsidRPr="000017EA">
        <w:rPr>
          <w:rFonts w:cstheme="minorHAnsi"/>
        </w:rPr>
        <w:t xml:space="preserve">emonstrator </w:t>
      </w:r>
      <w:r>
        <w:rPr>
          <w:rFonts w:cstheme="minorHAnsi"/>
        </w:rPr>
        <w:t xml:space="preserve">project </w:t>
      </w:r>
      <w:r w:rsidR="001B617B">
        <w:rPr>
          <w:rFonts w:cstheme="minorHAnsi"/>
        </w:rPr>
        <w:t>for</w:t>
      </w:r>
      <w:r w:rsidRPr="0087037E">
        <w:t xml:space="preserve"> </w:t>
      </w:r>
      <w:r>
        <w:t>Re</w:t>
      </w:r>
      <w:r w:rsidRPr="0087037E">
        <w:t xml:space="preserve">newables and </w:t>
      </w:r>
      <w:r>
        <w:t>G</w:t>
      </w:r>
      <w:r w:rsidRPr="0087037E">
        <w:t xml:space="preserve">reen </w:t>
      </w:r>
      <w:r>
        <w:t xml:space="preserve">Technology </w:t>
      </w:r>
      <w:r w:rsidR="008278EB">
        <w:t xml:space="preserve">education </w:t>
      </w:r>
      <w:r w:rsidRPr="0087037E">
        <w:t xml:space="preserve">courses </w:t>
      </w:r>
      <w:r>
        <w:t xml:space="preserve">delivered by </w:t>
      </w:r>
      <w:r w:rsidR="00776943" w:rsidRPr="0087037E">
        <w:t>Ayrshire</w:t>
      </w:r>
      <w:r w:rsidRPr="0087037E">
        <w:t xml:space="preserve"> </w:t>
      </w:r>
      <w:r w:rsidR="00776943">
        <w:t>C</w:t>
      </w:r>
      <w:r w:rsidRPr="0087037E">
        <w:t>ollege.</w:t>
      </w:r>
    </w:p>
    <w:p w14:paraId="316C2340" w14:textId="58815181" w:rsidR="008263AF" w:rsidRPr="0051542B" w:rsidRDefault="00ED442F" w:rsidP="0051542B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Ecological benefits </w:t>
      </w:r>
      <w:r w:rsidR="00B3554D">
        <w:rPr>
          <w:rFonts w:cstheme="minorHAnsi"/>
        </w:rPr>
        <w:t>of i</w:t>
      </w:r>
      <w:r w:rsidR="008B3FDC">
        <w:rPr>
          <w:rFonts w:cstheme="minorHAnsi"/>
        </w:rPr>
        <w:t xml:space="preserve">mproved </w:t>
      </w:r>
      <w:r w:rsidR="008B3FDC" w:rsidRPr="008B3FDC">
        <w:rPr>
          <w:rFonts w:cstheme="minorHAnsi"/>
        </w:rPr>
        <w:t xml:space="preserve">access for fish and </w:t>
      </w:r>
      <w:proofErr w:type="gramStart"/>
      <w:r w:rsidR="008B3FDC" w:rsidRPr="008B3FDC">
        <w:rPr>
          <w:rFonts w:cstheme="minorHAnsi"/>
        </w:rPr>
        <w:t>eels</w:t>
      </w:r>
      <w:proofErr w:type="gramEnd"/>
      <w:r w:rsidR="008B3FDC" w:rsidRPr="008B3FDC">
        <w:rPr>
          <w:rFonts w:cstheme="minorHAnsi"/>
        </w:rPr>
        <w:t xml:space="preserve"> migrat</w:t>
      </w:r>
      <w:r w:rsidR="00B3554D">
        <w:rPr>
          <w:rFonts w:cstheme="minorHAnsi"/>
        </w:rPr>
        <w:t>ion</w:t>
      </w:r>
      <w:r w:rsidR="00361F04">
        <w:rPr>
          <w:rFonts w:cstheme="minorHAnsi"/>
        </w:rPr>
        <w:t>, the in</w:t>
      </w:r>
      <w:r w:rsidR="001775A9">
        <w:rPr>
          <w:rFonts w:cstheme="minorHAnsi"/>
        </w:rPr>
        <w:t>stallation</w:t>
      </w:r>
      <w:r w:rsidR="00361F04">
        <w:rPr>
          <w:rFonts w:cstheme="minorHAnsi"/>
        </w:rPr>
        <w:t xml:space="preserve"> of a fish counter allows </w:t>
      </w:r>
      <w:r w:rsidR="006A22C4">
        <w:rPr>
          <w:rFonts w:cstheme="minorHAnsi"/>
        </w:rPr>
        <w:t xml:space="preserve">real-time </w:t>
      </w:r>
      <w:r w:rsidR="00361F04">
        <w:rPr>
          <w:rFonts w:cstheme="minorHAnsi"/>
        </w:rPr>
        <w:t>monitoring of the health of the river</w:t>
      </w:r>
      <w:r w:rsidR="00FB612D">
        <w:rPr>
          <w:rFonts w:cstheme="minorHAnsi"/>
        </w:rPr>
        <w:t>.</w:t>
      </w:r>
    </w:p>
    <w:p w14:paraId="4850A8C7" w14:textId="77777777" w:rsidR="00321456" w:rsidRDefault="00000000">
      <w:pPr>
        <w:rPr>
          <w:rStyle w:val="Hyperlink"/>
        </w:rPr>
      </w:pPr>
      <w:hyperlink r:id="rId7" w:history="1">
        <w:r w:rsidR="008263AF">
          <w:rPr>
            <w:rStyle w:val="Hyperlink"/>
          </w:rPr>
          <w:t>Energy Agency | Free and Impartial Energy Advice | Ayrshire and Dumfries and Galloway | Scotland</w:t>
        </w:r>
      </w:hyperlink>
    </w:p>
    <w:p w14:paraId="44D3BAA9" w14:textId="30B91B14" w:rsidR="008263AF" w:rsidRDefault="00321456" w:rsidP="0051542B">
      <w:pPr>
        <w:jc w:val="center"/>
        <w:rPr>
          <w:rStyle w:val="Hyperlink"/>
        </w:rPr>
      </w:pPr>
      <w:r>
        <w:rPr>
          <w:noProof/>
        </w:rPr>
        <w:drawing>
          <wp:inline distT="0" distB="0" distL="0" distR="0" wp14:anchorId="1C413604" wp14:editId="445488EA">
            <wp:extent cx="2728492" cy="24955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462" cy="251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63AF" w:rsidSect="008263AF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A3549"/>
    <w:multiLevelType w:val="hybridMultilevel"/>
    <w:tmpl w:val="D03654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92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C7"/>
    <w:rsid w:val="000C69A0"/>
    <w:rsid w:val="00142E18"/>
    <w:rsid w:val="001775A9"/>
    <w:rsid w:val="001B0CD0"/>
    <w:rsid w:val="001B617B"/>
    <w:rsid w:val="002A760C"/>
    <w:rsid w:val="002F4BDE"/>
    <w:rsid w:val="00321456"/>
    <w:rsid w:val="00351F3E"/>
    <w:rsid w:val="00361F04"/>
    <w:rsid w:val="00483872"/>
    <w:rsid w:val="00490DFD"/>
    <w:rsid w:val="005033C7"/>
    <w:rsid w:val="0051542B"/>
    <w:rsid w:val="005D55F5"/>
    <w:rsid w:val="00694C36"/>
    <w:rsid w:val="006A22C4"/>
    <w:rsid w:val="006C40A3"/>
    <w:rsid w:val="00706371"/>
    <w:rsid w:val="0074022F"/>
    <w:rsid w:val="00776943"/>
    <w:rsid w:val="00804F2D"/>
    <w:rsid w:val="008263AF"/>
    <w:rsid w:val="008278EB"/>
    <w:rsid w:val="00847070"/>
    <w:rsid w:val="008B2CDD"/>
    <w:rsid w:val="008B36C7"/>
    <w:rsid w:val="008B3FDC"/>
    <w:rsid w:val="00907219"/>
    <w:rsid w:val="00911DF0"/>
    <w:rsid w:val="00950CF3"/>
    <w:rsid w:val="00A90365"/>
    <w:rsid w:val="00B171A1"/>
    <w:rsid w:val="00B20F1E"/>
    <w:rsid w:val="00B3554D"/>
    <w:rsid w:val="00B64DC7"/>
    <w:rsid w:val="00C1690D"/>
    <w:rsid w:val="00C16EAE"/>
    <w:rsid w:val="00C30166"/>
    <w:rsid w:val="00C71AD4"/>
    <w:rsid w:val="00CA480B"/>
    <w:rsid w:val="00CB5AEA"/>
    <w:rsid w:val="00CD1196"/>
    <w:rsid w:val="00DD3CA8"/>
    <w:rsid w:val="00E025A8"/>
    <w:rsid w:val="00E97B33"/>
    <w:rsid w:val="00ED442F"/>
    <w:rsid w:val="00F0272B"/>
    <w:rsid w:val="00F411C2"/>
    <w:rsid w:val="00F67A72"/>
    <w:rsid w:val="00FB612D"/>
    <w:rsid w:val="00FD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88E34"/>
  <w15:chartTrackingRefBased/>
  <w15:docId w15:val="{09D4ECEC-4A48-44AA-90E4-8A14AEFA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B36C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36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36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36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6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6C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42E1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78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48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energyagency.org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ergyagency.org.uk/renewables/nethermills-hydro-scheme" TargetMode="External"/><Relationship Id="rId5" Type="http://schemas.openxmlformats.org/officeDocument/2006/relationships/hyperlink" Target="https://www.energyagency.org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Shellcock</dc:creator>
  <cp:keywords/>
  <dc:description/>
  <cp:lastModifiedBy>Alison Clayton</cp:lastModifiedBy>
  <cp:revision>37</cp:revision>
  <dcterms:created xsi:type="dcterms:W3CDTF">2023-12-11T16:38:00Z</dcterms:created>
  <dcterms:modified xsi:type="dcterms:W3CDTF">2023-12-12T09:44:00Z</dcterms:modified>
</cp:coreProperties>
</file>